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5" w:rsidRPr="007D027B" w:rsidRDefault="007D027B" w:rsidP="007D027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B57C3">
        <w:rPr>
          <w:b/>
          <w:sz w:val="28"/>
          <w:szCs w:val="28"/>
          <w:u w:val="single"/>
        </w:rPr>
        <w:t>Εβδομαδιαίο Ωρολόγιο Πρόγραμμα</w:t>
      </w:r>
      <w:r w:rsidR="002C6530">
        <w:rPr>
          <w:b/>
          <w:sz w:val="28"/>
          <w:szCs w:val="28"/>
        </w:rPr>
        <w:t>(ΕΩΠ)</w:t>
      </w:r>
      <w:proofErr w:type="spellStart"/>
      <w:r w:rsidR="002435FF">
        <w:rPr>
          <w:b/>
          <w:sz w:val="28"/>
          <w:szCs w:val="28"/>
          <w:u w:val="single"/>
        </w:rPr>
        <w:t>Σχολ</w:t>
      </w:r>
      <w:proofErr w:type="spellEnd"/>
      <w:r w:rsidR="002435FF">
        <w:rPr>
          <w:b/>
          <w:sz w:val="28"/>
          <w:szCs w:val="28"/>
          <w:u w:val="single"/>
        </w:rPr>
        <w:t>. Έτος: 2025</w:t>
      </w:r>
      <w:r w:rsidR="001B57C3" w:rsidRPr="00062890">
        <w:rPr>
          <w:b/>
          <w:sz w:val="28"/>
          <w:szCs w:val="28"/>
          <w:u w:val="single"/>
        </w:rPr>
        <w:t>-2</w:t>
      </w:r>
      <w:r w:rsidR="002435FF">
        <w:rPr>
          <w:b/>
          <w:sz w:val="28"/>
          <w:szCs w:val="28"/>
          <w:u w:val="single"/>
        </w:rPr>
        <w:t>0</w:t>
      </w:r>
      <w:r w:rsidR="001B57C3" w:rsidRPr="00062890">
        <w:rPr>
          <w:b/>
          <w:sz w:val="28"/>
          <w:szCs w:val="28"/>
          <w:u w:val="single"/>
        </w:rPr>
        <w:t>2</w:t>
      </w:r>
      <w:r w:rsidR="002435FF">
        <w:rPr>
          <w:b/>
          <w:sz w:val="28"/>
          <w:szCs w:val="28"/>
          <w:u w:val="single"/>
        </w:rPr>
        <w:t>6</w:t>
      </w:r>
    </w:p>
    <w:p w:rsidR="007D027B" w:rsidRPr="007D027B" w:rsidRDefault="007D027B" w:rsidP="007D027B">
      <w:pPr>
        <w:jc w:val="center"/>
        <w:rPr>
          <w:b/>
          <w:sz w:val="28"/>
          <w:szCs w:val="28"/>
        </w:rPr>
      </w:pPr>
      <w:r w:rsidRPr="007D027B">
        <w:rPr>
          <w:b/>
          <w:sz w:val="28"/>
          <w:szCs w:val="28"/>
        </w:rPr>
        <w:t>ΣΔΕΥ ….</w:t>
      </w:r>
    </w:p>
    <w:p w:rsidR="007D027B" w:rsidRDefault="007D027B" w:rsidP="007D027B">
      <w:pPr>
        <w:jc w:val="center"/>
        <w:rPr>
          <w:b/>
          <w:sz w:val="28"/>
          <w:szCs w:val="28"/>
        </w:rPr>
      </w:pPr>
      <w:r w:rsidRPr="007D027B">
        <w:rPr>
          <w:b/>
          <w:sz w:val="28"/>
          <w:szCs w:val="28"/>
        </w:rPr>
        <w:t>ΕΔΥ … Σχολείου</w:t>
      </w:r>
    </w:p>
    <w:tbl>
      <w:tblPr>
        <w:tblStyle w:val="a3"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7D027B" w:rsidTr="007D027B">
        <w:tc>
          <w:tcPr>
            <w:tcW w:w="2024" w:type="dxa"/>
          </w:tcPr>
          <w:p w:rsidR="007D027B" w:rsidRPr="0059783F" w:rsidRDefault="0059783F" w:rsidP="007D027B">
            <w:pPr>
              <w:jc w:val="center"/>
              <w:rPr>
                <w:b/>
                <w:sz w:val="28"/>
                <w:szCs w:val="28"/>
              </w:rPr>
            </w:pPr>
            <w:r w:rsidRPr="0059783F">
              <w:rPr>
                <w:b/>
                <w:sz w:val="28"/>
                <w:szCs w:val="28"/>
              </w:rPr>
              <w:t>Λειτουργίες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Δευτέρα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Τρίτη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Τετάρτη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Πέμπτη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Παρασκευή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Παρ/σεις</w:t>
            </w:r>
          </w:p>
        </w:tc>
      </w:tr>
      <w:tr w:rsidR="007D027B" w:rsidTr="0059783F">
        <w:tc>
          <w:tcPr>
            <w:tcW w:w="2024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  <w:r w:rsidRPr="007D027B">
              <w:rPr>
                <w:sz w:val="24"/>
                <w:szCs w:val="24"/>
              </w:rPr>
              <w:t>Συνεδριάσεις ΕΔΥ, Συλλόγου Διδασκόντων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7D027B" w:rsidRPr="0059783F" w:rsidRDefault="0059783F" w:rsidP="0059783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9783F">
              <w:rPr>
                <w:b/>
                <w:color w:val="FF0000"/>
                <w:sz w:val="28"/>
                <w:szCs w:val="28"/>
              </w:rPr>
              <w:t>6η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27B" w:rsidTr="0059783F">
        <w:tc>
          <w:tcPr>
            <w:tcW w:w="2024" w:type="dxa"/>
          </w:tcPr>
          <w:p w:rsidR="007D027B" w:rsidRPr="007D027B" w:rsidRDefault="007D027B" w:rsidP="007D027B">
            <w:pPr>
              <w:jc w:val="center"/>
              <w:rPr>
                <w:sz w:val="24"/>
                <w:szCs w:val="24"/>
              </w:rPr>
            </w:pPr>
            <w:r w:rsidRPr="007D027B">
              <w:rPr>
                <w:sz w:val="24"/>
                <w:szCs w:val="24"/>
              </w:rPr>
              <w:t>Παρατήρηση, αξιολόγηση παιδιού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7D027B" w:rsidRPr="0059783F" w:rsidRDefault="0059783F" w:rsidP="0059783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9783F">
              <w:rPr>
                <w:b/>
                <w:color w:val="FF0000"/>
                <w:sz w:val="28"/>
                <w:szCs w:val="28"/>
              </w:rPr>
              <w:t>1η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27B" w:rsidTr="0059783F">
        <w:tc>
          <w:tcPr>
            <w:tcW w:w="2024" w:type="dxa"/>
          </w:tcPr>
          <w:p w:rsidR="007D027B" w:rsidRPr="007D027B" w:rsidRDefault="007D027B" w:rsidP="007D0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Συμβουλευτική</w:t>
            </w:r>
            <w:r w:rsidRPr="007D027B">
              <w:rPr>
                <w:sz w:val="24"/>
                <w:szCs w:val="24"/>
              </w:rPr>
              <w:t xml:space="preserve"> γονέων, εκπαιδευτικού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7D027B" w:rsidRPr="0059783F" w:rsidRDefault="0059783F" w:rsidP="0059783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9783F">
              <w:rPr>
                <w:b/>
                <w:color w:val="FF0000"/>
                <w:sz w:val="28"/>
                <w:szCs w:val="28"/>
              </w:rPr>
              <w:t>3η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27B" w:rsidTr="0059783F">
        <w:tc>
          <w:tcPr>
            <w:tcW w:w="2024" w:type="dxa"/>
          </w:tcPr>
          <w:p w:rsidR="007D027B" w:rsidRPr="007D027B" w:rsidRDefault="007D027B" w:rsidP="007D027B">
            <w:pPr>
              <w:jc w:val="center"/>
              <w:rPr>
                <w:sz w:val="24"/>
                <w:szCs w:val="24"/>
              </w:rPr>
            </w:pPr>
            <w:r w:rsidRPr="007D027B">
              <w:rPr>
                <w:sz w:val="24"/>
                <w:szCs w:val="24"/>
              </w:rPr>
              <w:t>Υλοποίηση Σχεδίου Δράσης (π.χ. ΣΤ’ Τάξη)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7D027B" w:rsidRPr="0059783F" w:rsidRDefault="0059783F" w:rsidP="0059783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9783F">
              <w:rPr>
                <w:b/>
                <w:color w:val="FF0000"/>
                <w:sz w:val="28"/>
                <w:szCs w:val="28"/>
              </w:rPr>
              <w:t>2η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27B" w:rsidTr="0059783F">
        <w:tc>
          <w:tcPr>
            <w:tcW w:w="2024" w:type="dxa"/>
          </w:tcPr>
          <w:p w:rsidR="007D027B" w:rsidRPr="007D027B" w:rsidRDefault="007D027B" w:rsidP="00597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Ψυχο-κοινωνική παρέμβαση σε </w:t>
            </w:r>
            <w:r w:rsidR="0059783F">
              <w:rPr>
                <w:sz w:val="24"/>
                <w:szCs w:val="24"/>
              </w:rPr>
              <w:t>παιδί ή παιδιά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7D027B" w:rsidRPr="0059783F" w:rsidRDefault="0059783F" w:rsidP="0059783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9783F">
              <w:rPr>
                <w:b/>
                <w:color w:val="FF0000"/>
                <w:sz w:val="28"/>
                <w:szCs w:val="28"/>
              </w:rPr>
              <w:t>4</w:t>
            </w:r>
            <w:r w:rsidRPr="0059783F">
              <w:rPr>
                <w:b/>
                <w:color w:val="FF0000"/>
                <w:sz w:val="28"/>
                <w:szCs w:val="28"/>
                <w:vertAlign w:val="superscript"/>
              </w:rPr>
              <w:t>η</w:t>
            </w:r>
            <w:r w:rsidRPr="0059783F">
              <w:rPr>
                <w:b/>
                <w:color w:val="FF0000"/>
                <w:sz w:val="28"/>
                <w:szCs w:val="28"/>
              </w:rPr>
              <w:t>&amp; 5η</w:t>
            </w: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7D027B" w:rsidRDefault="007D027B" w:rsidP="007D027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C6530" w:rsidRDefault="002C6530" w:rsidP="001B57C3">
      <w:pPr>
        <w:rPr>
          <w:b/>
          <w:sz w:val="28"/>
          <w:szCs w:val="28"/>
        </w:rPr>
      </w:pPr>
    </w:p>
    <w:p w:rsidR="0059783F" w:rsidRDefault="002C6530" w:rsidP="001B57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Ο/Η Πρόεδρος της ΕΔΥ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Τα μέλη</w:t>
      </w:r>
    </w:p>
    <w:p w:rsidR="002C6530" w:rsidRDefault="002C6530" w:rsidP="001B57C3">
      <w:pPr>
        <w:rPr>
          <w:b/>
          <w:sz w:val="28"/>
          <w:szCs w:val="28"/>
        </w:rPr>
      </w:pPr>
    </w:p>
    <w:p w:rsidR="007D027B" w:rsidRDefault="001B57C3" w:rsidP="001B57C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Παρατηρήσεις:</w:t>
      </w:r>
    </w:p>
    <w:p w:rsidR="001B57C3" w:rsidRDefault="001B57C3" w:rsidP="001B57C3">
      <w:pPr>
        <w:pStyle w:val="a4"/>
        <w:numPr>
          <w:ilvl w:val="0"/>
          <w:numId w:val="1"/>
        </w:numPr>
        <w:rPr>
          <w:sz w:val="24"/>
          <w:szCs w:val="24"/>
        </w:rPr>
      </w:pPr>
      <w:r w:rsidRPr="0059783F">
        <w:rPr>
          <w:sz w:val="24"/>
          <w:szCs w:val="24"/>
        </w:rPr>
        <w:t xml:space="preserve">Κάθε Πρόεδρος της ΕΔΥ συμπληρώνει το πρόγραμμα για την ημέρα που έρχονται </w:t>
      </w:r>
      <w:r w:rsidR="0059783F" w:rsidRPr="0059783F">
        <w:rPr>
          <w:sz w:val="24"/>
          <w:szCs w:val="24"/>
        </w:rPr>
        <w:t>ο/η Ψυχολόγος</w:t>
      </w:r>
      <w:r w:rsidRPr="0059783F">
        <w:rPr>
          <w:sz w:val="24"/>
          <w:szCs w:val="24"/>
        </w:rPr>
        <w:t xml:space="preserve"> και </w:t>
      </w:r>
      <w:r w:rsidR="0059783F" w:rsidRPr="0059783F">
        <w:rPr>
          <w:sz w:val="24"/>
          <w:szCs w:val="24"/>
        </w:rPr>
        <w:t>ο/η Κοινωνικός</w:t>
      </w:r>
      <w:r w:rsidRPr="0059783F">
        <w:rPr>
          <w:sz w:val="24"/>
          <w:szCs w:val="24"/>
        </w:rPr>
        <w:t xml:space="preserve"> Λειτουργός στο Σχολείο</w:t>
      </w:r>
      <w:r w:rsidR="0059783F">
        <w:rPr>
          <w:sz w:val="24"/>
          <w:szCs w:val="24"/>
        </w:rPr>
        <w:t>.</w:t>
      </w:r>
    </w:p>
    <w:p w:rsidR="0059783F" w:rsidRDefault="0059783F" w:rsidP="001B57C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Για τις Συνεδριάσεις συλλογικών οργάνων και τη Συμβουλευτική διατίθεται χρόνος έως και το ¼ του εργασιακού ωραρίου.</w:t>
      </w:r>
    </w:p>
    <w:p w:rsidR="0059783F" w:rsidRDefault="0059783F" w:rsidP="001B57C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Το ωράριο εργασίας του Ειδικού Εκπαιδευτικού Προσωπικού (ΕΕΠ) ακολουθεί τις ανάλογες διατάξεις των εκπαιδευτικών που μετακινούνται σε διαφορετικά σχολεία.</w:t>
      </w:r>
    </w:p>
    <w:p w:rsidR="0059783F" w:rsidRDefault="0059783F" w:rsidP="001B57C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Στα κελιά της αντίστοιχης στήλης καταγράφεται ο αριθμός της ώρας απασχόλησης. </w:t>
      </w:r>
      <w:r w:rsidR="002C6530">
        <w:rPr>
          <w:sz w:val="24"/>
          <w:szCs w:val="24"/>
        </w:rPr>
        <w:t xml:space="preserve">Δεν είναι ανάγκη να καλύπτονται όλα τα κελιά καθώς το Σχολείο μπορεί να δώσει έμφαση σε δραστηριότητες που έχει ανάγκη. </w:t>
      </w:r>
      <w:r>
        <w:rPr>
          <w:sz w:val="24"/>
          <w:szCs w:val="24"/>
        </w:rPr>
        <w:t>Για παράδειγμα βλ. τα κόκκινα στον πίνακα.</w:t>
      </w:r>
    </w:p>
    <w:p w:rsidR="00E32CFD" w:rsidRDefault="00E32CFD" w:rsidP="001B57C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Το ΕΩΠ υπογράφεται </w:t>
      </w:r>
      <w:r w:rsidR="002C6530">
        <w:rPr>
          <w:sz w:val="24"/>
          <w:szCs w:val="24"/>
        </w:rPr>
        <w:t xml:space="preserve">και σφραγίζεται </w:t>
      </w:r>
      <w:r>
        <w:rPr>
          <w:sz w:val="24"/>
          <w:szCs w:val="24"/>
        </w:rPr>
        <w:t xml:space="preserve">από τον Πρόεδρο και τα μέλη της ΕΔΥ και αποστέλλεται </w:t>
      </w:r>
      <w:r w:rsidR="002C6530">
        <w:rPr>
          <w:sz w:val="24"/>
          <w:szCs w:val="24"/>
        </w:rPr>
        <w:t>-</w:t>
      </w:r>
      <w:r>
        <w:rPr>
          <w:sz w:val="24"/>
          <w:szCs w:val="24"/>
        </w:rPr>
        <w:t>διά του Συντονιστή του ΣΔΕΥ</w:t>
      </w:r>
      <w:r w:rsidR="002C6530">
        <w:rPr>
          <w:sz w:val="24"/>
          <w:szCs w:val="24"/>
        </w:rPr>
        <w:t>-</w:t>
      </w:r>
      <w:r>
        <w:rPr>
          <w:sz w:val="24"/>
          <w:szCs w:val="24"/>
        </w:rPr>
        <w:t xml:space="preserve"> στον </w:t>
      </w:r>
      <w:r w:rsidR="002C6530">
        <w:rPr>
          <w:sz w:val="24"/>
          <w:szCs w:val="24"/>
        </w:rPr>
        <w:t>Προϊστάμενο</w:t>
      </w:r>
      <w:r>
        <w:rPr>
          <w:sz w:val="24"/>
          <w:szCs w:val="24"/>
        </w:rPr>
        <w:t xml:space="preserve"> του ΚΕΔΑΣΥ.</w:t>
      </w:r>
    </w:p>
    <w:p w:rsidR="002C6530" w:rsidRPr="0059783F" w:rsidRDefault="002C6530" w:rsidP="001B57C3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Εάν προκύψουν ανάγκες διαρκείας εξαιτίας των οποίων χρειάζεται να τροποποιηθεί το ΕΩΠ ακολουθείτε η ίδια διαδικασία.</w:t>
      </w:r>
    </w:p>
    <w:sectPr w:rsidR="002C6530" w:rsidRPr="0059783F" w:rsidSect="007D027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C0DFB"/>
    <w:multiLevelType w:val="hybridMultilevel"/>
    <w:tmpl w:val="F29E2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027B"/>
    <w:rsid w:val="000404BF"/>
    <w:rsid w:val="00062890"/>
    <w:rsid w:val="001B57C3"/>
    <w:rsid w:val="002435FF"/>
    <w:rsid w:val="002C6530"/>
    <w:rsid w:val="0059783F"/>
    <w:rsid w:val="007D027B"/>
    <w:rsid w:val="00B0448B"/>
    <w:rsid w:val="00B92C21"/>
    <w:rsid w:val="00D770A1"/>
    <w:rsid w:val="00E32CFD"/>
    <w:rsid w:val="00E8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5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2025-09-25T23:55:00Z</dcterms:created>
  <dcterms:modified xsi:type="dcterms:W3CDTF">2025-11-10T18:13:00Z</dcterms:modified>
</cp:coreProperties>
</file>